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11AD" w:rsidRDefault="001316E9" w:rsidP="004211AD">
      <w:pPr>
        <w:spacing w:after="0"/>
      </w:pPr>
      <w:r>
        <w:t>proddingsco_2_2004_noTOC.zip --- a copy of the prodding SCO package whose SCORM manifest contains the code to make the regular SCORM 2004 player not display the TOC for a single SCO package. Assumption is this behavior is intentional, and a result of intelligence in the sequencing engine design, and not a bug.</w:t>
      </w:r>
      <w:r w:rsidR="004211AD">
        <w:t xml:space="preserve"> </w:t>
      </w:r>
      <w:bookmarkStart w:id="0" w:name="_GoBack"/>
      <w:bookmarkEnd w:id="0"/>
    </w:p>
    <w:p w:rsidR="001316E9" w:rsidRDefault="004211AD" w:rsidP="004211AD">
      <w:pPr>
        <w:spacing w:after="0"/>
      </w:pPr>
      <w:r>
        <w:t>A “TOC-less” package,</w:t>
      </w:r>
      <w:r w:rsidR="001316E9">
        <w:t xml:space="preserve"> discussed last week</w:t>
      </w:r>
      <w:r>
        <w:t>,</w:t>
      </w:r>
      <w:r w:rsidR="001316E9">
        <w:t xml:space="preserve"> to forward to Mr. Williams </w:t>
      </w:r>
      <w:r>
        <w:t xml:space="preserve">of PD DLS </w:t>
      </w:r>
      <w:r w:rsidR="001316E9">
        <w:t xml:space="preserve">for </w:t>
      </w:r>
      <w:r>
        <w:t>his input on the matter.</w:t>
      </w:r>
    </w:p>
    <w:p w:rsidR="001316E9" w:rsidRDefault="001316E9" w:rsidP="001316E9"/>
    <w:p w:rsidR="00304E9E" w:rsidRDefault="00304E9E" w:rsidP="00304E9E">
      <w:pPr>
        <w:spacing w:after="0"/>
      </w:pPr>
    </w:p>
    <w:p w:rsidR="00304E9E" w:rsidRDefault="00304E9E" w:rsidP="00304E9E">
      <w:pPr>
        <w:spacing w:after="0"/>
      </w:pPr>
      <w:r>
        <w:t xml:space="preserve">We are interested to hear everyone’s thoughts on the no TOC effect of these controlMode settings </w:t>
      </w:r>
    </w:p>
    <w:p w:rsidR="00304E9E" w:rsidRDefault="00304E9E" w:rsidP="00304E9E">
      <w:pPr>
        <w:pStyle w:val="ListParagraph"/>
        <w:numPr>
          <w:ilvl w:val="0"/>
          <w:numId w:val="1"/>
        </w:numPr>
        <w:spacing w:after="0"/>
      </w:pPr>
      <w:r>
        <w:t>Is this closer to a bug than intended behavior of the SCORM player.</w:t>
      </w:r>
    </w:p>
    <w:p w:rsidR="00304E9E" w:rsidRDefault="00304E9E" w:rsidP="00304E9E">
      <w:pPr>
        <w:pStyle w:val="ListParagraph"/>
        <w:numPr>
          <w:ilvl w:val="0"/>
          <w:numId w:val="1"/>
        </w:numPr>
        <w:spacing w:after="0"/>
      </w:pPr>
      <w:r>
        <w:t>Value or desirability for potential use in the future.</w:t>
      </w:r>
    </w:p>
    <w:p w:rsidR="00304E9E" w:rsidRDefault="00304E9E" w:rsidP="001316E9"/>
    <w:p w:rsidR="001316E9" w:rsidRDefault="001316E9" w:rsidP="001316E9">
      <w:r>
        <w:t xml:space="preserve"> </w:t>
      </w:r>
    </w:p>
    <w:p w:rsidR="004211AD" w:rsidRDefault="004211AD" w:rsidP="004211AD">
      <w:r>
        <w:t>Coding Notes:</w:t>
      </w:r>
    </w:p>
    <w:p w:rsidR="004211AD" w:rsidRDefault="004211AD" w:rsidP="001316E9">
      <w:pPr>
        <w:spacing w:after="0"/>
      </w:pPr>
    </w:p>
    <w:p w:rsidR="001316E9" w:rsidRDefault="001316E9" w:rsidP="001316E9">
      <w:pPr>
        <w:spacing w:after="0"/>
      </w:pPr>
      <w:r>
        <w:t xml:space="preserve">Some recent testing has yielded an interesting result that has a neat effect on single-SCO SCORM 2004 3rd edition content (multi-SCO not as much, as discussed in a bit) where the Saba SCORM player table of contents frame is hidden. More testing reveals a certain combination of </w:t>
      </w:r>
      <w:r w:rsidR="00510117">
        <w:t>sequencing controlMode</w:t>
      </w:r>
      <w:r>
        <w:t xml:space="preserve"> attributes on the SCO and the Organization hide the TOC altogether, with the minimum combination to achieve this effect being:</w:t>
      </w:r>
    </w:p>
    <w:p w:rsidR="001316E9" w:rsidRDefault="001316E9" w:rsidP="001316E9">
      <w:pPr>
        <w:spacing w:after="0"/>
      </w:pPr>
    </w:p>
    <w:p w:rsidR="004211AD" w:rsidRDefault="004211AD" w:rsidP="004211AD">
      <w:pPr>
        <w:spacing w:after="0"/>
      </w:pPr>
      <w:r>
        <w:t xml:space="preserve">* </w:t>
      </w:r>
      <w:r w:rsidR="001316E9">
        <w:t>Organization sequencing controlMode:</w:t>
      </w:r>
    </w:p>
    <w:p w:rsidR="001316E9" w:rsidRDefault="001316E9" w:rsidP="004211AD">
      <w:pPr>
        <w:pStyle w:val="ListParagraph"/>
        <w:numPr>
          <w:ilvl w:val="0"/>
          <w:numId w:val="5"/>
        </w:numPr>
        <w:tabs>
          <w:tab w:val="left" w:pos="360"/>
        </w:tabs>
        <w:spacing w:after="0"/>
        <w:ind w:left="360" w:firstLine="0"/>
      </w:pPr>
      <w:r>
        <w:t>choice = false, flow = true</w:t>
      </w:r>
    </w:p>
    <w:p w:rsidR="004211AD" w:rsidRDefault="004211AD" w:rsidP="004211AD">
      <w:pPr>
        <w:tabs>
          <w:tab w:val="left" w:pos="360"/>
        </w:tabs>
        <w:spacing w:after="0"/>
      </w:pPr>
      <w:r>
        <w:t xml:space="preserve">* </w:t>
      </w:r>
      <w:r w:rsidR="001316E9">
        <w:t xml:space="preserve">SCO sequencing controlMode: </w:t>
      </w:r>
    </w:p>
    <w:p w:rsidR="004211AD" w:rsidRDefault="004211AD" w:rsidP="004211AD">
      <w:pPr>
        <w:pStyle w:val="ListParagraph"/>
        <w:numPr>
          <w:ilvl w:val="0"/>
          <w:numId w:val="3"/>
        </w:numPr>
        <w:tabs>
          <w:tab w:val="left" w:pos="360"/>
        </w:tabs>
        <w:spacing w:after="0"/>
        <w:ind w:left="360" w:firstLine="0"/>
      </w:pPr>
      <w:r>
        <w:t>choiceExit = false</w:t>
      </w:r>
    </w:p>
    <w:p w:rsidR="004211AD" w:rsidRDefault="004211AD" w:rsidP="004211AD">
      <w:pPr>
        <w:tabs>
          <w:tab w:val="left" w:pos="360"/>
        </w:tabs>
        <w:spacing w:after="0"/>
      </w:pPr>
    </w:p>
    <w:p w:rsidR="001316E9" w:rsidRDefault="001316E9" w:rsidP="001316E9">
      <w:r>
        <w:t xml:space="preserve"> </w:t>
      </w:r>
    </w:p>
    <w:p w:rsidR="001316E9" w:rsidRDefault="001316E9" w:rsidP="001316E9">
      <w:pPr>
        <w:spacing w:after="0"/>
      </w:pPr>
      <w:r>
        <w:t>Testing indicates under certain conditions, such as above, the Saba SCORM player won’t show the learner the TOC if there is no possible navigation options for them. I’ve tested this method with a multi-SCO package, and while the TOC is hidden, the player walks off the tree as expected, so I imagine this technique would only realistically apply to single SCO packages.</w:t>
      </w:r>
    </w:p>
    <w:p w:rsidR="001316E9" w:rsidRDefault="001316E9" w:rsidP="001316E9">
      <w:r>
        <w:t xml:space="preserve"> </w:t>
      </w:r>
    </w:p>
    <w:p w:rsidR="001316E9" w:rsidRDefault="001316E9" w:rsidP="001316E9"/>
    <w:p w:rsidR="001316E9" w:rsidRDefault="001316E9" w:rsidP="001316E9">
      <w:pPr>
        <w:spacing w:after="0"/>
      </w:pPr>
      <w:r>
        <w:t>DL DART created a test offering on the ALMS CTE (“DL DART Single SCO No TOC Test”, ID# 00040173) using a modified version of the Prodding SCO to illustrate what happens; a screenshot</w:t>
      </w:r>
      <w:r w:rsidR="00392539">
        <w:t xml:space="preserve"> and the manifest are below</w:t>
      </w:r>
      <w:r>
        <w:t>. I figure this could be useful for things like single-SCO assessments where the learner doesn’t really have a need for the TOC – plus it frees up a bit of screen real estate by reducing clutter while also addressing the issue of the selectable organization allows learners to re-launch assessments from the TOC.</w:t>
      </w:r>
    </w:p>
    <w:p w:rsidR="00304E9E" w:rsidRDefault="00304E9E" w:rsidP="001316E9"/>
    <w:p w:rsidR="00304E9E" w:rsidRDefault="00304E9E" w:rsidP="001316E9"/>
    <w:p w:rsidR="00304E9E" w:rsidRDefault="00304E9E" w:rsidP="001316E9">
      <w:r>
        <w:t>A noTOC Prodding SCO screenshot</w:t>
      </w:r>
    </w:p>
    <w:p w:rsidR="00392539" w:rsidRDefault="00BF3B55" w:rsidP="001316E9">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351pt">
            <v:imagedata r:id="rId8" o:title="proddingSCO_noTOC"/>
          </v:shape>
        </w:pict>
      </w:r>
    </w:p>
    <w:p w:rsidR="001316E9" w:rsidRDefault="001316E9" w:rsidP="001316E9">
      <w:r>
        <w:t xml:space="preserve"> </w:t>
      </w:r>
    </w:p>
    <w:p w:rsidR="00304E9E" w:rsidRDefault="00304E9E">
      <w:r>
        <w:br w:type="page"/>
      </w:r>
    </w:p>
    <w:p w:rsidR="00CC3CC2" w:rsidRDefault="00CC3CC2" w:rsidP="001316E9">
      <w:r>
        <w:lastRenderedPageBreak/>
        <w:t xml:space="preserve">The </w:t>
      </w:r>
      <w:r w:rsidR="00304E9E">
        <w:t xml:space="preserve">noTOC Prodding SCO </w:t>
      </w:r>
      <w:r>
        <w:t>imsmanifest.xml file:</w:t>
      </w:r>
    </w:p>
    <w:p w:rsidR="00CC3CC2" w:rsidRDefault="004211AD" w:rsidP="00CC3CC2">
      <w:pPr>
        <w:spacing w:after="0"/>
      </w:pPr>
      <w:r>
        <w:t>&lt;?xml</w:t>
      </w:r>
      <w:r w:rsidR="00CC3CC2">
        <w:t xml:space="preserve"> version="1.0" standalone="no"?&gt;</w:t>
      </w:r>
    </w:p>
    <w:p w:rsidR="00CC3CC2" w:rsidRDefault="00CC3CC2" w:rsidP="00CC3CC2">
      <w:pPr>
        <w:spacing w:after="0"/>
      </w:pPr>
      <w:r>
        <w:t>&lt;manifest identifier="AFE980F6-DD3A-11DA-9B41-B622A1EF5495" version="1.98.3 beta"</w:t>
      </w:r>
    </w:p>
    <w:p w:rsidR="00CC3CC2" w:rsidRDefault="00CC3CC2" w:rsidP="00CC3CC2">
      <w:pPr>
        <w:spacing w:after="0"/>
      </w:pPr>
      <w:r>
        <w:t xml:space="preserve">  xmlns="http://www.imsglobal.org/xsd/imscp_v1p1"</w:t>
      </w:r>
    </w:p>
    <w:p w:rsidR="00CC3CC2" w:rsidRDefault="00CC3CC2" w:rsidP="00CC3CC2">
      <w:pPr>
        <w:spacing w:after="0"/>
      </w:pPr>
      <w:r>
        <w:t xml:space="preserve">  xmlns:adlcp="http://www.adlnet.org/xsd/adlcp_v1p3"</w:t>
      </w:r>
    </w:p>
    <w:p w:rsidR="00CC3CC2" w:rsidRDefault="00CC3CC2" w:rsidP="00CC3CC2">
      <w:pPr>
        <w:spacing w:after="0"/>
      </w:pPr>
      <w:r>
        <w:t xml:space="preserve">  xmlns:adlseq="http://www.adlnet.org/xsd/adlseq_v1p3"</w:t>
      </w:r>
    </w:p>
    <w:p w:rsidR="00CC3CC2" w:rsidRDefault="00CC3CC2" w:rsidP="00CC3CC2">
      <w:pPr>
        <w:spacing w:after="0"/>
      </w:pPr>
      <w:r>
        <w:t xml:space="preserve">  xmlns:adlnav="http://www.adlnet.org/xsd/adlnav_v1p3"</w:t>
      </w:r>
    </w:p>
    <w:p w:rsidR="00CC3CC2" w:rsidRDefault="00CC3CC2" w:rsidP="00CC3CC2">
      <w:pPr>
        <w:spacing w:after="0"/>
      </w:pPr>
      <w:r>
        <w:t xml:space="preserve">  xmlns:imsss="http://www.imsglobal.org/xsd/imsss"</w:t>
      </w:r>
    </w:p>
    <w:p w:rsidR="00CC3CC2" w:rsidRDefault="00CC3CC2" w:rsidP="00CC3CC2">
      <w:pPr>
        <w:spacing w:after="0"/>
      </w:pPr>
      <w:r>
        <w:t xml:space="preserve">  xmlns:xsi="http://www.w3.org/2001/XMLSchema-instance"</w:t>
      </w:r>
    </w:p>
    <w:p w:rsidR="00CC3CC2" w:rsidRDefault="00CC3CC2" w:rsidP="00CC3CC2">
      <w:pPr>
        <w:spacing w:after="0"/>
      </w:pPr>
      <w:r>
        <w:t xml:space="preserve">  xsi:schemaLocation="http://www.imsglobal.org/xsd/imscp_v1p1 imscp_v1p1.xsd</w:t>
      </w:r>
    </w:p>
    <w:p w:rsidR="00CC3CC2" w:rsidRDefault="00CC3CC2" w:rsidP="00CC3CC2">
      <w:pPr>
        <w:spacing w:after="0"/>
      </w:pPr>
      <w:r>
        <w:t xml:space="preserve">   http://www.imsglobal.org/xsd/imsss imsss_v1p0.xsd</w:t>
      </w:r>
    </w:p>
    <w:p w:rsidR="00CC3CC2" w:rsidRDefault="00CC3CC2" w:rsidP="00CC3CC2">
      <w:pPr>
        <w:spacing w:after="0"/>
      </w:pPr>
      <w:r>
        <w:t xml:space="preserve">   http://www.adlnet.org/xsd/adlcp_v1p3 adlcp_v1p3.xsd</w:t>
      </w:r>
    </w:p>
    <w:p w:rsidR="00CC3CC2" w:rsidRDefault="00CC3CC2" w:rsidP="00CC3CC2">
      <w:pPr>
        <w:spacing w:after="0"/>
      </w:pPr>
      <w:r>
        <w:t xml:space="preserve">   http://www.adlnet.org/xsd/adlseq_v1p3 adlseq_v1p3.xsd</w:t>
      </w:r>
    </w:p>
    <w:p w:rsidR="00CC3CC2" w:rsidRDefault="00CC3CC2" w:rsidP="00CC3CC2">
      <w:pPr>
        <w:spacing w:after="0"/>
      </w:pPr>
      <w:r>
        <w:t xml:space="preserve">   http://www.adlnet.org/xsd/adlnav_v1p3 adlnav_v1p3.xsd"&gt;</w:t>
      </w:r>
    </w:p>
    <w:p w:rsidR="00CC3CC2" w:rsidRDefault="00CC3CC2" w:rsidP="00CC3CC2">
      <w:pPr>
        <w:spacing w:after="0"/>
      </w:pPr>
      <w:r>
        <w:t xml:space="preserve">   &lt;metadata&gt;</w:t>
      </w:r>
    </w:p>
    <w:p w:rsidR="00CC3CC2" w:rsidRDefault="00CC3CC2" w:rsidP="00CC3CC2">
      <w:pPr>
        <w:spacing w:after="0"/>
      </w:pPr>
      <w:r>
        <w:t xml:space="preserve">    </w:t>
      </w:r>
      <w:r>
        <w:tab/>
        <w:t>&lt;schema&gt;ADL SCORM&lt;/schema&gt;</w:t>
      </w:r>
    </w:p>
    <w:p w:rsidR="00CC3CC2" w:rsidRDefault="00CC3CC2" w:rsidP="00CC3CC2">
      <w:pPr>
        <w:spacing w:after="0"/>
      </w:pPr>
      <w:r>
        <w:t xml:space="preserve">    </w:t>
      </w:r>
      <w:r>
        <w:tab/>
        <w:t>&lt;schemaversion&gt;2004 3rd Edition&lt;/schemaversion&gt;</w:t>
      </w:r>
    </w:p>
    <w:p w:rsidR="00CC3CC2" w:rsidRDefault="00CC3CC2" w:rsidP="00CC3CC2">
      <w:pPr>
        <w:spacing w:after="0"/>
      </w:pPr>
      <w:r>
        <w:t xml:space="preserve">   </w:t>
      </w:r>
      <w:r>
        <w:tab/>
      </w:r>
      <w:r>
        <w:tab/>
        <w:t>&lt;adlcp:location&gt;packagemetadata.xml&lt;/adlcp:location&gt;</w:t>
      </w:r>
    </w:p>
    <w:p w:rsidR="00CC3CC2" w:rsidRDefault="00CC3CC2" w:rsidP="00CC3CC2">
      <w:pPr>
        <w:spacing w:after="0"/>
      </w:pPr>
      <w:r>
        <w:t xml:space="preserve">  &lt;/metadata&gt;</w:t>
      </w:r>
    </w:p>
    <w:p w:rsidR="00CC3CC2" w:rsidRDefault="00CC3CC2" w:rsidP="00CC3CC2">
      <w:pPr>
        <w:spacing w:after="0"/>
      </w:pPr>
      <w:r>
        <w:t xml:space="preserve">  &lt;organizations default="C98978EA-DD3A-11DA-9B41-B622A1EF5492"&gt;</w:t>
      </w:r>
    </w:p>
    <w:p w:rsidR="00CC3CC2" w:rsidRDefault="00CC3CC2" w:rsidP="00CC3CC2">
      <w:pPr>
        <w:spacing w:after="0"/>
      </w:pPr>
      <w:r>
        <w:t xml:space="preserve">    </w:t>
      </w:r>
      <w:r>
        <w:tab/>
        <w:t>&lt;organization identifier="C98978EA-DD3A-11DA-9B41-B622A1EF5492" structure="hierarchical" adlseq:objectivesGlobalToSystem="false"&gt;</w:t>
      </w:r>
    </w:p>
    <w:p w:rsidR="00CC3CC2" w:rsidRDefault="00CC3CC2" w:rsidP="00CC3CC2">
      <w:pPr>
        <w:spacing w:after="0"/>
      </w:pPr>
      <w:r>
        <w:t xml:space="preserve">      </w:t>
      </w:r>
      <w:r>
        <w:tab/>
      </w:r>
      <w:r>
        <w:tab/>
        <w:t>&lt;title&gt;SCORM Diagnostic Content SCO&lt;/title&gt;</w:t>
      </w:r>
    </w:p>
    <w:p w:rsidR="00CC3CC2" w:rsidRDefault="00CC3CC2" w:rsidP="00CC3CC2">
      <w:pPr>
        <w:spacing w:after="0"/>
      </w:pPr>
      <w:r>
        <w:t xml:space="preserve">      </w:t>
      </w:r>
      <w:r>
        <w:tab/>
      </w:r>
      <w:r>
        <w:tab/>
        <w:t>&lt;item identifier="DB4B88FC-DD3A-11DA-9B41-B622A1EF5492" identifierref="EA10429C-DD3A-11DA-9B41-B622A1EF5492"&gt;</w:t>
      </w:r>
    </w:p>
    <w:p w:rsidR="00CC3CC2" w:rsidRDefault="00CC3CC2" w:rsidP="00CC3CC2">
      <w:pPr>
        <w:spacing w:after="0"/>
      </w:pPr>
      <w:r>
        <w:t xml:space="preserve">        </w:t>
      </w:r>
      <w:r>
        <w:tab/>
      </w:r>
      <w:r>
        <w:tab/>
      </w:r>
      <w:r>
        <w:tab/>
        <w:t>&lt;title&gt;SCORM Diagnostic Content SCO&lt;/title&gt;</w:t>
      </w:r>
    </w:p>
    <w:p w:rsidR="00CC3CC2" w:rsidRPr="00CC3CC2" w:rsidRDefault="00CC3CC2" w:rsidP="00CC3CC2">
      <w:pPr>
        <w:spacing w:after="0"/>
        <w:rPr>
          <w:highlight w:val="yellow"/>
        </w:rPr>
      </w:pPr>
      <w:r>
        <w:tab/>
      </w:r>
      <w:r>
        <w:tab/>
      </w:r>
      <w:r>
        <w:tab/>
      </w:r>
      <w:r w:rsidRPr="00CC3CC2">
        <w:rPr>
          <w:highlight w:val="yellow"/>
        </w:rPr>
        <w:t>&lt;imsss:sequencing&gt;</w:t>
      </w:r>
    </w:p>
    <w:p w:rsidR="00CC3CC2" w:rsidRPr="00CC3CC2" w:rsidRDefault="00CC3CC2" w:rsidP="00CC3CC2">
      <w:pPr>
        <w:spacing w:after="0"/>
        <w:rPr>
          <w:highlight w:val="yellow"/>
        </w:rPr>
      </w:pPr>
      <w:r w:rsidRPr="00CC3CC2">
        <w:rPr>
          <w:highlight w:val="yellow"/>
        </w:rPr>
        <w:tab/>
      </w:r>
      <w:r w:rsidRPr="00CC3CC2">
        <w:rPr>
          <w:highlight w:val="yellow"/>
        </w:rPr>
        <w:tab/>
      </w:r>
      <w:r>
        <w:rPr>
          <w:highlight w:val="yellow"/>
        </w:rPr>
        <w:tab/>
      </w:r>
      <w:r>
        <w:rPr>
          <w:highlight w:val="yellow"/>
        </w:rPr>
        <w:tab/>
      </w:r>
      <w:r w:rsidRPr="00CC3CC2">
        <w:rPr>
          <w:highlight w:val="yellow"/>
        </w:rPr>
        <w:t>&lt;imsss:controlMode choiceExit="false"/&gt;</w:t>
      </w:r>
    </w:p>
    <w:p w:rsidR="00CC3CC2" w:rsidRDefault="00CC3CC2" w:rsidP="00CC3CC2">
      <w:pPr>
        <w:spacing w:after="0"/>
      </w:pPr>
      <w:r w:rsidRPr="00CC3CC2">
        <w:rPr>
          <w:highlight w:val="yellow"/>
        </w:rPr>
        <w:tab/>
      </w:r>
      <w:r>
        <w:rPr>
          <w:highlight w:val="yellow"/>
        </w:rPr>
        <w:tab/>
      </w:r>
      <w:r>
        <w:rPr>
          <w:highlight w:val="yellow"/>
        </w:rPr>
        <w:tab/>
      </w:r>
      <w:r w:rsidRPr="00CC3CC2">
        <w:rPr>
          <w:highlight w:val="yellow"/>
        </w:rPr>
        <w:t>&lt;/imsss:sequencing&gt;</w:t>
      </w:r>
    </w:p>
    <w:p w:rsidR="00CC3CC2" w:rsidRDefault="00CC3CC2" w:rsidP="00CC3CC2">
      <w:pPr>
        <w:spacing w:after="0"/>
      </w:pPr>
      <w:r>
        <w:t xml:space="preserve">      </w:t>
      </w:r>
      <w:r>
        <w:tab/>
      </w:r>
      <w:r>
        <w:tab/>
        <w:t>&lt;/item&gt;</w:t>
      </w:r>
    </w:p>
    <w:p w:rsidR="00CC3CC2" w:rsidRPr="004211AD" w:rsidRDefault="00CC3CC2" w:rsidP="00CC3CC2">
      <w:pPr>
        <w:spacing w:after="0"/>
        <w:rPr>
          <w:color w:val="00B050"/>
        </w:rPr>
      </w:pPr>
      <w:r w:rsidRPr="004211AD">
        <w:rPr>
          <w:color w:val="00B050"/>
        </w:rPr>
        <w:t xml:space="preserve"> &lt;!--Organization sequencing--&gt;</w:t>
      </w:r>
    </w:p>
    <w:p w:rsidR="00CC3CC2" w:rsidRPr="00CC3CC2" w:rsidRDefault="00CC3CC2" w:rsidP="00CC3CC2">
      <w:pPr>
        <w:spacing w:after="0"/>
        <w:rPr>
          <w:highlight w:val="yellow"/>
        </w:rPr>
      </w:pPr>
      <w:r>
        <w:t xml:space="preserve">       </w:t>
      </w:r>
      <w:r>
        <w:tab/>
      </w:r>
      <w:r>
        <w:tab/>
      </w:r>
      <w:r w:rsidRPr="00CC3CC2">
        <w:rPr>
          <w:highlight w:val="yellow"/>
        </w:rPr>
        <w:t>&lt;imsss:sequencing&gt;</w:t>
      </w:r>
    </w:p>
    <w:p w:rsidR="00CC3CC2" w:rsidRPr="00CC3CC2" w:rsidRDefault="00CC3CC2" w:rsidP="00CC3CC2">
      <w:pPr>
        <w:spacing w:after="0"/>
        <w:rPr>
          <w:highlight w:val="yellow"/>
        </w:rPr>
      </w:pPr>
      <w:r w:rsidRPr="00CC3CC2">
        <w:rPr>
          <w:highlight w:val="yellow"/>
        </w:rPr>
        <w:t xml:space="preserve">        </w:t>
      </w:r>
      <w:r w:rsidRPr="00CC3CC2">
        <w:rPr>
          <w:highlight w:val="yellow"/>
        </w:rPr>
        <w:tab/>
      </w:r>
      <w:r>
        <w:rPr>
          <w:highlight w:val="yellow"/>
        </w:rPr>
        <w:tab/>
      </w:r>
      <w:r>
        <w:rPr>
          <w:highlight w:val="yellow"/>
        </w:rPr>
        <w:tab/>
      </w:r>
      <w:r w:rsidRPr="00CC3CC2">
        <w:rPr>
          <w:highlight w:val="yellow"/>
        </w:rPr>
        <w:t>&lt;imsss:controlMode choice="false" flow="true"/&gt;</w:t>
      </w:r>
    </w:p>
    <w:p w:rsidR="00CC3CC2" w:rsidRDefault="00CC3CC2" w:rsidP="00CC3CC2">
      <w:pPr>
        <w:spacing w:after="0"/>
      </w:pPr>
      <w:r w:rsidRPr="00CC3CC2">
        <w:rPr>
          <w:highlight w:val="yellow"/>
        </w:rPr>
        <w:t xml:space="preserve">      </w:t>
      </w:r>
      <w:r>
        <w:rPr>
          <w:highlight w:val="yellow"/>
        </w:rPr>
        <w:tab/>
      </w:r>
      <w:r>
        <w:rPr>
          <w:highlight w:val="yellow"/>
        </w:rPr>
        <w:tab/>
      </w:r>
      <w:r w:rsidRPr="00CC3CC2">
        <w:rPr>
          <w:highlight w:val="yellow"/>
        </w:rPr>
        <w:t>&lt;/imsss:sequencing&gt;</w:t>
      </w:r>
    </w:p>
    <w:p w:rsidR="00CC3CC2" w:rsidRDefault="00CC3CC2" w:rsidP="00CC3CC2">
      <w:pPr>
        <w:spacing w:after="0"/>
      </w:pPr>
      <w:r>
        <w:t xml:space="preserve">   </w:t>
      </w:r>
      <w:r>
        <w:tab/>
        <w:t xml:space="preserve"> &lt;/organization&gt;</w:t>
      </w:r>
    </w:p>
    <w:p w:rsidR="00CC3CC2" w:rsidRDefault="00CC3CC2" w:rsidP="00CC3CC2">
      <w:pPr>
        <w:spacing w:after="0"/>
      </w:pPr>
      <w:r>
        <w:t xml:space="preserve">  &lt;/organizations&gt;</w:t>
      </w:r>
    </w:p>
    <w:p w:rsidR="00CC3CC2" w:rsidRDefault="00CC3CC2" w:rsidP="00CC3CC2">
      <w:pPr>
        <w:spacing w:after="0"/>
      </w:pPr>
      <w:r>
        <w:t xml:space="preserve">  &lt;resources&gt;</w:t>
      </w:r>
    </w:p>
    <w:p w:rsidR="00CC3CC2" w:rsidRDefault="00CC3CC2" w:rsidP="00CC3CC2">
      <w:pPr>
        <w:spacing w:after="0"/>
      </w:pPr>
      <w:r>
        <w:t xml:space="preserve">    </w:t>
      </w:r>
      <w:r>
        <w:tab/>
        <w:t>&lt;resource identifier="EA10429C-DD3A-11DA-9B41-B622A1EF5492" adlcp:scormType="sco"</w:t>
      </w:r>
    </w:p>
    <w:p w:rsidR="00CC3CC2" w:rsidRDefault="00CC3CC2" w:rsidP="00CC3CC2">
      <w:pPr>
        <w:spacing w:after="0"/>
      </w:pPr>
      <w:r>
        <w:t xml:space="preserve">       href="proddingsco2.htm" type="webcontent"&gt;</w:t>
      </w:r>
    </w:p>
    <w:p w:rsidR="00CC3CC2" w:rsidRDefault="00CC3CC2" w:rsidP="00CC3CC2">
      <w:pPr>
        <w:spacing w:after="0"/>
      </w:pPr>
      <w:r>
        <w:t xml:space="preserve">      </w:t>
      </w:r>
      <w:r>
        <w:tab/>
      </w:r>
      <w:r>
        <w:tab/>
        <w:t>&lt;file href="proddingsco2.htm"/&gt;</w:t>
      </w:r>
    </w:p>
    <w:p w:rsidR="00CC3CC2" w:rsidRDefault="00CC3CC2" w:rsidP="00CC3CC2">
      <w:pPr>
        <w:spacing w:after="0"/>
      </w:pPr>
      <w:r>
        <w:t xml:space="preserve">    </w:t>
      </w:r>
      <w:r>
        <w:tab/>
        <w:t>&lt;/resource&gt;</w:t>
      </w:r>
    </w:p>
    <w:p w:rsidR="00CC3CC2" w:rsidRDefault="00CC3CC2" w:rsidP="00CC3CC2">
      <w:pPr>
        <w:spacing w:after="0"/>
      </w:pPr>
      <w:r>
        <w:t xml:space="preserve">  &lt;/resources&gt;</w:t>
      </w:r>
    </w:p>
    <w:p w:rsidR="001316E9" w:rsidRDefault="00CC3CC2" w:rsidP="00CC3CC2">
      <w:pPr>
        <w:spacing w:after="0"/>
      </w:pPr>
      <w:r>
        <w:t>&lt;/manifest&gt;</w:t>
      </w:r>
    </w:p>
    <w:p w:rsidR="00796786" w:rsidRDefault="00796786" w:rsidP="00304E9E">
      <w:pPr>
        <w:spacing w:after="0"/>
      </w:pPr>
    </w:p>
    <w:sectPr w:rsidR="00796786">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16E9" w:rsidRDefault="001316E9" w:rsidP="001316E9">
      <w:pPr>
        <w:spacing w:after="0" w:line="240" w:lineRule="auto"/>
      </w:pPr>
      <w:r>
        <w:separator/>
      </w:r>
    </w:p>
  </w:endnote>
  <w:endnote w:type="continuationSeparator" w:id="0">
    <w:p w:rsidR="001316E9" w:rsidRDefault="001316E9" w:rsidP="001316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3280106"/>
      <w:docPartObj>
        <w:docPartGallery w:val="Page Numbers (Bottom of Page)"/>
        <w:docPartUnique/>
      </w:docPartObj>
    </w:sdtPr>
    <w:sdtEndPr/>
    <w:sdtContent>
      <w:sdt>
        <w:sdtPr>
          <w:id w:val="1728636285"/>
          <w:docPartObj>
            <w:docPartGallery w:val="Page Numbers (Top of Page)"/>
            <w:docPartUnique/>
          </w:docPartObj>
        </w:sdtPr>
        <w:sdtEndPr/>
        <w:sdtContent>
          <w:p w:rsidR="001316E9" w:rsidRDefault="001316E9">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51011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10117">
              <w:rPr>
                <w:b/>
                <w:bCs/>
                <w:noProof/>
              </w:rPr>
              <w:t>3</w:t>
            </w:r>
            <w:r>
              <w:rPr>
                <w:b/>
                <w:bCs/>
                <w:sz w:val="24"/>
                <w:szCs w:val="24"/>
              </w:rPr>
              <w:fldChar w:fldCharType="end"/>
            </w:r>
          </w:p>
        </w:sdtContent>
      </w:sdt>
    </w:sdtContent>
  </w:sdt>
  <w:p w:rsidR="001316E9" w:rsidRDefault="001316E9" w:rsidP="001316E9">
    <w:pPr>
      <w:pStyle w:val="Footer"/>
      <w:tabs>
        <w:tab w:val="clear" w:pos="4680"/>
        <w:tab w:val="clear" w:pos="9360"/>
        <w:tab w:val="left" w:pos="388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16E9" w:rsidRDefault="001316E9" w:rsidP="001316E9">
      <w:pPr>
        <w:spacing w:after="0" w:line="240" w:lineRule="auto"/>
      </w:pPr>
      <w:r>
        <w:separator/>
      </w:r>
    </w:p>
  </w:footnote>
  <w:footnote w:type="continuationSeparator" w:id="0">
    <w:p w:rsidR="001316E9" w:rsidRDefault="001316E9" w:rsidP="001316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6E9" w:rsidRDefault="001316E9">
    <w:pPr>
      <w:pStyle w:val="Header"/>
    </w:pPr>
    <w:r>
      <w:t>proddingsco_2_2004_noTOC.zip Readme File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B3671"/>
    <w:multiLevelType w:val="hybridMultilevel"/>
    <w:tmpl w:val="957E81C8"/>
    <w:lvl w:ilvl="0" w:tplc="672A3EB6">
      <w:numFmt w:val="bullet"/>
      <w:lvlText w:val=""/>
      <w:lvlJc w:val="left"/>
      <w:pPr>
        <w:ind w:left="1080" w:hanging="72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F0136D"/>
    <w:multiLevelType w:val="hybridMultilevel"/>
    <w:tmpl w:val="BE16DB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5CB2424"/>
    <w:multiLevelType w:val="hybridMultilevel"/>
    <w:tmpl w:val="4BF8EAEA"/>
    <w:lvl w:ilvl="0" w:tplc="672A3EB6">
      <w:numFmt w:val="bullet"/>
      <w:lvlText w:val=""/>
      <w:lvlJc w:val="left"/>
      <w:pPr>
        <w:ind w:left="1080" w:hanging="72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007679"/>
    <w:multiLevelType w:val="hybridMultilevel"/>
    <w:tmpl w:val="C524B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E2719E3"/>
    <w:multiLevelType w:val="hybridMultilevel"/>
    <w:tmpl w:val="9C1C771C"/>
    <w:lvl w:ilvl="0" w:tplc="672A3EB6">
      <w:numFmt w:val="bullet"/>
      <w:lvlText w:val=""/>
      <w:lvlJc w:val="left"/>
      <w:pPr>
        <w:ind w:left="2160" w:hanging="720"/>
      </w:pPr>
      <w:rPr>
        <w:rFonts w:ascii="Symbol" w:eastAsiaTheme="minorHAnsi" w:hAnsi="Symbol"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6E9"/>
    <w:rsid w:val="001316E9"/>
    <w:rsid w:val="00175107"/>
    <w:rsid w:val="00304E9E"/>
    <w:rsid w:val="00392539"/>
    <w:rsid w:val="004211AD"/>
    <w:rsid w:val="00510117"/>
    <w:rsid w:val="00796786"/>
    <w:rsid w:val="00BF3B55"/>
    <w:rsid w:val="00CC3C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C7CA898A-30E7-46BC-9749-C5BB8C073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16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16E9"/>
  </w:style>
  <w:style w:type="paragraph" w:styleId="Footer">
    <w:name w:val="footer"/>
    <w:basedOn w:val="Normal"/>
    <w:link w:val="FooterChar"/>
    <w:uiPriority w:val="99"/>
    <w:unhideWhenUsed/>
    <w:rsid w:val="001316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16E9"/>
  </w:style>
  <w:style w:type="paragraph" w:styleId="ListParagraph">
    <w:name w:val="List Paragraph"/>
    <w:basedOn w:val="Normal"/>
    <w:uiPriority w:val="34"/>
    <w:qFormat/>
    <w:rsid w:val="00CC3C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197FB8-1184-4371-AADB-FF8829C4C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619FB630.dotm</Template>
  <TotalTime>0</TotalTime>
  <Pages>3</Pages>
  <Words>605</Words>
  <Characters>3452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United States Army</Company>
  <LinksUpToDate>false</LinksUpToDate>
  <CharactersWithSpaces>4049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bob.hess1</dc:creator>
  <cp:keywords/>
  <dc:description/>
  <cp:lastModifiedBy>bob.hess1</cp:lastModifiedBy>
  <cp:revision>2</cp:revision>
  <dcterms:created xsi:type="dcterms:W3CDTF">2015-01-23T23:44:00Z</dcterms:created>
  <dcterms:modified xsi:type="dcterms:W3CDTF">2015-01-23T23:44:00Z</dcterms:modified>
</cp:coreProperties>
</file>